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ED582" w14:textId="77777777" w:rsidR="00D6544A" w:rsidRDefault="002A5820" w:rsidP="002A5820">
      <w:pPr>
        <w:pStyle w:val="Heading1"/>
      </w:pPr>
      <w:r>
        <w:t>EMPOWER Prioritisation</w:t>
      </w:r>
    </w:p>
    <w:p w14:paraId="2524EF02" w14:textId="77777777" w:rsidR="002A5820" w:rsidRDefault="002A5820" w:rsidP="002A5820">
      <w:pPr>
        <w:pStyle w:val="Heading2"/>
      </w:pPr>
      <w:bookmarkStart w:id="0" w:name="_GoBack"/>
      <w:bookmarkEnd w:id="0"/>
      <w:r>
        <w:t>Top 10</w:t>
      </w:r>
    </w:p>
    <w:tbl>
      <w:tblPr>
        <w:tblStyle w:val="TableGrid"/>
        <w:tblW w:w="9016" w:type="dxa"/>
        <w:tblLook w:val="04A0" w:firstRow="1" w:lastRow="0" w:firstColumn="1" w:lastColumn="0" w:noHBand="0" w:noVBand="1"/>
      </w:tblPr>
      <w:tblGrid>
        <w:gridCol w:w="9016"/>
      </w:tblGrid>
      <w:tr w:rsidR="002A5820" w:rsidRPr="002A5820" w14:paraId="20CC6F30" w14:textId="77777777" w:rsidTr="002A5820">
        <w:trPr>
          <w:trHeight w:val="630"/>
        </w:trPr>
        <w:tc>
          <w:tcPr>
            <w:tcW w:w="9016" w:type="dxa"/>
            <w:hideMark/>
          </w:tcPr>
          <w:p w14:paraId="14F1F18D" w14:textId="77777777" w:rsidR="002A5820" w:rsidRPr="002A5820" w:rsidRDefault="002A5820" w:rsidP="002A5820">
            <w:pPr>
              <w:rPr>
                <w:lang w:eastAsia="en-GB"/>
              </w:rPr>
            </w:pPr>
            <w:r w:rsidRPr="002A5820">
              <w:rPr>
                <w:lang w:eastAsia="en-GB"/>
              </w:rPr>
              <w:t>Better dilator technology for women with vaginismus</w:t>
            </w:r>
            <w:r>
              <w:rPr>
                <w:lang w:eastAsia="en-GB"/>
              </w:rPr>
              <w:t xml:space="preserve"> (painful vaginal spasms), post-</w:t>
            </w:r>
            <w:r w:rsidRPr="002A5820">
              <w:rPr>
                <w:lang w:eastAsia="en-GB"/>
              </w:rPr>
              <w:t>menopausal women, and for women following surgery or radiotherapy</w:t>
            </w:r>
          </w:p>
        </w:tc>
      </w:tr>
      <w:tr w:rsidR="002A5820" w:rsidRPr="002A5820" w14:paraId="677DDDBC" w14:textId="77777777" w:rsidTr="002A5820">
        <w:trPr>
          <w:trHeight w:val="600"/>
        </w:trPr>
        <w:tc>
          <w:tcPr>
            <w:tcW w:w="9016" w:type="dxa"/>
            <w:hideMark/>
          </w:tcPr>
          <w:p w14:paraId="5DD24A6B" w14:textId="77777777" w:rsidR="002A5820" w:rsidRPr="002A5820" w:rsidRDefault="002A5820" w:rsidP="002A5820">
            <w:pPr>
              <w:rPr>
                <w:lang w:eastAsia="en-GB"/>
              </w:rPr>
            </w:pPr>
            <w:r w:rsidRPr="002A5820">
              <w:rPr>
                <w:lang w:eastAsia="en-GB"/>
              </w:rPr>
              <w:t>Better menstrual products  - cheaper, more environmentally friendly, better for teenagers, better for heavy bleeding</w:t>
            </w:r>
          </w:p>
        </w:tc>
      </w:tr>
      <w:tr w:rsidR="002A5820" w:rsidRPr="002A5820" w14:paraId="23768541" w14:textId="77777777" w:rsidTr="002A5820">
        <w:trPr>
          <w:trHeight w:val="315"/>
        </w:trPr>
        <w:tc>
          <w:tcPr>
            <w:tcW w:w="9016" w:type="dxa"/>
            <w:hideMark/>
          </w:tcPr>
          <w:p w14:paraId="62B06098" w14:textId="77777777" w:rsidR="002A5820" w:rsidRPr="002A5820" w:rsidRDefault="002A5820" w:rsidP="002A5820">
            <w:pPr>
              <w:rPr>
                <w:lang w:eastAsia="en-GB"/>
              </w:rPr>
            </w:pPr>
            <w:r w:rsidRPr="002A5820">
              <w:rPr>
                <w:lang w:eastAsia="en-GB"/>
              </w:rPr>
              <w:t>Better non-hormonal contraceptives </w:t>
            </w:r>
          </w:p>
        </w:tc>
      </w:tr>
      <w:tr w:rsidR="002A5820" w:rsidRPr="002A5820" w14:paraId="5FC01E87" w14:textId="77777777" w:rsidTr="002A5820">
        <w:trPr>
          <w:trHeight w:val="630"/>
        </w:trPr>
        <w:tc>
          <w:tcPr>
            <w:tcW w:w="9016" w:type="dxa"/>
            <w:hideMark/>
          </w:tcPr>
          <w:p w14:paraId="14E2E6E2" w14:textId="77777777" w:rsidR="002A5820" w:rsidRPr="002A5820" w:rsidRDefault="002A5820" w:rsidP="002A5820">
            <w:pPr>
              <w:rPr>
                <w:lang w:eastAsia="en-GB"/>
              </w:rPr>
            </w:pPr>
            <w:r w:rsidRPr="002A5820">
              <w:rPr>
                <w:lang w:eastAsia="en-GB"/>
              </w:rPr>
              <w:t>Better rapid point of care and home infection tests to look for urinary tract, vaginal thrush, and sexually transmitted infections (gonorrhoea, chlamydia, herpes, warts, trichomonas, syphilis).</w:t>
            </w:r>
          </w:p>
        </w:tc>
      </w:tr>
      <w:tr w:rsidR="002A5820" w:rsidRPr="002A5820" w14:paraId="468FD19C" w14:textId="77777777" w:rsidTr="002A5820">
        <w:trPr>
          <w:trHeight w:val="315"/>
        </w:trPr>
        <w:tc>
          <w:tcPr>
            <w:tcW w:w="9016" w:type="dxa"/>
            <w:hideMark/>
          </w:tcPr>
          <w:p w14:paraId="6860043F" w14:textId="77777777" w:rsidR="002A5820" w:rsidRPr="002A5820" w:rsidRDefault="002A5820" w:rsidP="002A5820">
            <w:pPr>
              <w:rPr>
                <w:lang w:eastAsia="en-GB"/>
              </w:rPr>
            </w:pPr>
            <w:r>
              <w:rPr>
                <w:lang w:eastAsia="en-GB"/>
              </w:rPr>
              <w:t>Better tests and non-</w:t>
            </w:r>
            <w:r w:rsidRPr="002A5820">
              <w:rPr>
                <w:lang w:eastAsia="en-GB"/>
              </w:rPr>
              <w:t>drug treatments for pelvic pain and period pain including endometriosis detection</w:t>
            </w:r>
          </w:p>
        </w:tc>
      </w:tr>
      <w:tr w:rsidR="002A5820" w:rsidRPr="002A5820" w14:paraId="5896DB5C" w14:textId="77777777" w:rsidTr="002A5820">
        <w:trPr>
          <w:trHeight w:val="945"/>
        </w:trPr>
        <w:tc>
          <w:tcPr>
            <w:tcW w:w="9016" w:type="dxa"/>
            <w:hideMark/>
          </w:tcPr>
          <w:p w14:paraId="166916A8" w14:textId="77777777" w:rsidR="002A5820" w:rsidRPr="002A5820" w:rsidRDefault="002A5820" w:rsidP="002A5820">
            <w:pPr>
              <w:rPr>
                <w:sz w:val="24"/>
                <w:szCs w:val="24"/>
                <w:lang w:eastAsia="en-GB"/>
              </w:rPr>
            </w:pPr>
            <w:r w:rsidRPr="002A5820">
              <w:rPr>
                <w:sz w:val="24"/>
                <w:szCs w:val="24"/>
                <w:lang w:eastAsia="en-GB"/>
              </w:rPr>
              <w:t>Devices for clinicians to examine the vagina and cervix which are comfortable and work for women of different sizes, with wombs which sit at different angles, and work for trans people and pregnant women and women with pelvic pain. Devices for self-examination.</w:t>
            </w:r>
          </w:p>
        </w:tc>
      </w:tr>
      <w:tr w:rsidR="002A5820" w:rsidRPr="002A5820" w14:paraId="3BFFDB89" w14:textId="77777777" w:rsidTr="002A5820">
        <w:trPr>
          <w:trHeight w:val="630"/>
        </w:trPr>
        <w:tc>
          <w:tcPr>
            <w:tcW w:w="9016" w:type="dxa"/>
            <w:hideMark/>
          </w:tcPr>
          <w:p w14:paraId="2E6A3855" w14:textId="77777777" w:rsidR="002A5820" w:rsidRPr="002A5820" w:rsidRDefault="002A5820" w:rsidP="002A5820">
            <w:pPr>
              <w:rPr>
                <w:sz w:val="24"/>
                <w:szCs w:val="24"/>
                <w:lang w:eastAsia="en-GB"/>
              </w:rPr>
            </w:pPr>
            <w:r w:rsidRPr="002A5820">
              <w:rPr>
                <w:sz w:val="24"/>
                <w:szCs w:val="24"/>
                <w:lang w:eastAsia="en-GB"/>
              </w:rPr>
              <w:t>A better range of devices to manage vaginal prolapse including self-management, and better ways of choosing devices, such as measuring tools to get the right pessary size</w:t>
            </w:r>
          </w:p>
        </w:tc>
      </w:tr>
      <w:tr w:rsidR="002A5820" w:rsidRPr="002A5820" w14:paraId="51E2EF55" w14:textId="77777777" w:rsidTr="002A5820">
        <w:trPr>
          <w:trHeight w:val="315"/>
        </w:trPr>
        <w:tc>
          <w:tcPr>
            <w:tcW w:w="9016" w:type="dxa"/>
            <w:hideMark/>
          </w:tcPr>
          <w:p w14:paraId="6195FB9F" w14:textId="77777777" w:rsidR="002A5820" w:rsidRPr="002A5820" w:rsidRDefault="002A5820" w:rsidP="002A5820">
            <w:pPr>
              <w:rPr>
                <w:lang w:eastAsia="en-GB"/>
              </w:rPr>
            </w:pPr>
            <w:r w:rsidRPr="002A5820">
              <w:rPr>
                <w:lang w:eastAsia="en-GB"/>
              </w:rPr>
              <w:t>Monitoring during labour which allows movement (for example not requiring abdomen stickers)</w:t>
            </w:r>
          </w:p>
        </w:tc>
      </w:tr>
      <w:tr w:rsidR="002A5820" w:rsidRPr="002A5820" w14:paraId="677ADC74" w14:textId="77777777" w:rsidTr="002A5820">
        <w:trPr>
          <w:trHeight w:val="315"/>
        </w:trPr>
        <w:tc>
          <w:tcPr>
            <w:tcW w:w="9016" w:type="dxa"/>
            <w:hideMark/>
          </w:tcPr>
          <w:p w14:paraId="0A04714A" w14:textId="77777777" w:rsidR="002A5820" w:rsidRPr="002A5820" w:rsidRDefault="002A5820" w:rsidP="002A5820">
            <w:pPr>
              <w:rPr>
                <w:lang w:eastAsia="en-GB"/>
              </w:rPr>
            </w:pPr>
            <w:r w:rsidRPr="002A5820">
              <w:rPr>
                <w:lang w:eastAsia="en-GB"/>
              </w:rPr>
              <w:t>Technology to address breast and nipple pain while breast feeding, and home tests for nipple thrush</w:t>
            </w:r>
          </w:p>
        </w:tc>
      </w:tr>
      <w:tr w:rsidR="002A5820" w:rsidRPr="002A5820" w14:paraId="0A9EB0AD" w14:textId="77777777" w:rsidTr="002A5820">
        <w:trPr>
          <w:trHeight w:val="70"/>
        </w:trPr>
        <w:tc>
          <w:tcPr>
            <w:tcW w:w="9016" w:type="dxa"/>
            <w:hideMark/>
          </w:tcPr>
          <w:p w14:paraId="6F682D4C" w14:textId="77777777" w:rsidR="002A5820" w:rsidRPr="002A5820" w:rsidRDefault="002A5820" w:rsidP="002A5820">
            <w:pPr>
              <w:rPr>
                <w:sz w:val="24"/>
                <w:szCs w:val="24"/>
                <w:lang w:eastAsia="en-GB"/>
              </w:rPr>
            </w:pPr>
            <w:r w:rsidRPr="002A5820">
              <w:rPr>
                <w:sz w:val="24"/>
                <w:szCs w:val="24"/>
                <w:lang w:eastAsia="en-GB"/>
              </w:rPr>
              <w:t>Technology which can be used before birth to manage urine leakage and incontinence and reduce perineal damage from the birth, to provide perineal support/care for perineal after birth, and to help manage discomfort and bleeding</w:t>
            </w:r>
          </w:p>
        </w:tc>
      </w:tr>
    </w:tbl>
    <w:p w14:paraId="04EC9E44" w14:textId="77777777" w:rsidR="002A5820" w:rsidRDefault="002A5820" w:rsidP="002A5820">
      <w:pPr>
        <w:pStyle w:val="Heading2"/>
      </w:pPr>
    </w:p>
    <w:p w14:paraId="048039C6" w14:textId="77777777" w:rsidR="002A5820" w:rsidRDefault="002A5820" w:rsidP="002A5820">
      <w:pPr>
        <w:pStyle w:val="Heading2"/>
      </w:pPr>
      <w:r>
        <w:t>10-20:</w:t>
      </w:r>
    </w:p>
    <w:tbl>
      <w:tblPr>
        <w:tblStyle w:val="TableGrid"/>
        <w:tblW w:w="0" w:type="auto"/>
        <w:tblLook w:val="04A0" w:firstRow="1" w:lastRow="0" w:firstColumn="1" w:lastColumn="0" w:noHBand="0" w:noVBand="1"/>
      </w:tblPr>
      <w:tblGrid>
        <w:gridCol w:w="9016"/>
      </w:tblGrid>
      <w:tr w:rsidR="00F930F1" w:rsidRPr="00192767" w14:paraId="7D682AEF" w14:textId="77777777" w:rsidTr="007715E5">
        <w:trPr>
          <w:trHeight w:val="300"/>
        </w:trPr>
        <w:tc>
          <w:tcPr>
            <w:tcW w:w="9016" w:type="dxa"/>
            <w:noWrap/>
            <w:hideMark/>
          </w:tcPr>
          <w:p w14:paraId="463514B5" w14:textId="77777777" w:rsidR="00F930F1" w:rsidRPr="009B2F60" w:rsidRDefault="00F930F1" w:rsidP="00F930F1">
            <w:r w:rsidRPr="009B2F60">
              <w:t>Better designs for hormonal contraceptives including varied size contraceptive rings, coloured contraceptive patches, and with better adhesion</w:t>
            </w:r>
          </w:p>
        </w:tc>
      </w:tr>
      <w:tr w:rsidR="00F930F1" w:rsidRPr="00192767" w14:paraId="6C112284" w14:textId="77777777" w:rsidTr="007715E5">
        <w:trPr>
          <w:trHeight w:val="300"/>
        </w:trPr>
        <w:tc>
          <w:tcPr>
            <w:tcW w:w="9016" w:type="dxa"/>
            <w:noWrap/>
            <w:hideMark/>
          </w:tcPr>
          <w:p w14:paraId="20440218" w14:textId="77777777" w:rsidR="00F930F1" w:rsidRPr="009B2F60" w:rsidRDefault="00F930F1" w:rsidP="00F930F1">
            <w:r w:rsidRPr="009B2F60">
              <w:t>Better pads and products for urine and faecal leakage </w:t>
            </w:r>
          </w:p>
        </w:tc>
      </w:tr>
      <w:tr w:rsidR="00F930F1" w:rsidRPr="00192767" w14:paraId="2E0BAECE" w14:textId="77777777" w:rsidTr="007715E5">
        <w:trPr>
          <w:trHeight w:val="300"/>
        </w:trPr>
        <w:tc>
          <w:tcPr>
            <w:tcW w:w="9016" w:type="dxa"/>
            <w:noWrap/>
            <w:hideMark/>
          </w:tcPr>
          <w:p w14:paraId="68660CF3" w14:textId="77777777" w:rsidR="00F930F1" w:rsidRPr="009B2F60" w:rsidRDefault="00F930F1" w:rsidP="00F930F1">
            <w:r w:rsidRPr="009B2F60">
              <w:t>Better technology to reduce the discomfort of inserting a coil or Mirena coil, including self-insertion delivery of pain relief that women could use prior to coil fitting</w:t>
            </w:r>
          </w:p>
        </w:tc>
      </w:tr>
      <w:tr w:rsidR="00F930F1" w:rsidRPr="00192767" w14:paraId="0C767D01" w14:textId="77777777" w:rsidTr="007715E5">
        <w:trPr>
          <w:trHeight w:val="300"/>
        </w:trPr>
        <w:tc>
          <w:tcPr>
            <w:tcW w:w="9016" w:type="dxa"/>
            <w:noWrap/>
            <w:hideMark/>
          </w:tcPr>
          <w:p w14:paraId="113DD73A" w14:textId="77777777" w:rsidR="00F930F1" w:rsidRPr="009B2F60" w:rsidRDefault="00F930F1" w:rsidP="00F930F1">
            <w:r w:rsidRPr="009B2F60">
              <w:t>Better ways to deliver hormones and medication into the vagina to treat dryness and pain due to the menopause</w:t>
            </w:r>
          </w:p>
        </w:tc>
      </w:tr>
      <w:tr w:rsidR="00F930F1" w:rsidRPr="00192767" w14:paraId="5B22FD83" w14:textId="77777777" w:rsidTr="007715E5">
        <w:trPr>
          <w:trHeight w:val="300"/>
        </w:trPr>
        <w:tc>
          <w:tcPr>
            <w:tcW w:w="9016" w:type="dxa"/>
            <w:noWrap/>
            <w:hideMark/>
          </w:tcPr>
          <w:p w14:paraId="38A633EE" w14:textId="77777777" w:rsidR="00F930F1" w:rsidRPr="009B2F60" w:rsidRDefault="00F930F1" w:rsidP="00F930F1">
            <w:r w:rsidRPr="009B2F60">
              <w:t>HRT patches which don’t fall off</w:t>
            </w:r>
          </w:p>
        </w:tc>
      </w:tr>
      <w:tr w:rsidR="00F930F1" w:rsidRPr="00192767" w14:paraId="70872972" w14:textId="77777777" w:rsidTr="007715E5">
        <w:trPr>
          <w:trHeight w:val="300"/>
        </w:trPr>
        <w:tc>
          <w:tcPr>
            <w:tcW w:w="9016" w:type="dxa"/>
            <w:noWrap/>
            <w:hideMark/>
          </w:tcPr>
          <w:p w14:paraId="68647270" w14:textId="77777777" w:rsidR="00F930F1" w:rsidRPr="009B2F60" w:rsidRDefault="00F930F1" w:rsidP="00F930F1">
            <w:r w:rsidRPr="009B2F60">
              <w:t>Technologies to support pelvic floor assessment and care – smaller, easier to use than current models, allowing biofeedback and self-visualisation, educating about and supporting relaxation of the pelvic floor when this is causing pain </w:t>
            </w:r>
          </w:p>
        </w:tc>
      </w:tr>
      <w:tr w:rsidR="00F930F1" w:rsidRPr="00192767" w14:paraId="2601B7AB" w14:textId="77777777" w:rsidTr="007715E5">
        <w:trPr>
          <w:trHeight w:val="300"/>
        </w:trPr>
        <w:tc>
          <w:tcPr>
            <w:tcW w:w="9016" w:type="dxa"/>
            <w:noWrap/>
            <w:hideMark/>
          </w:tcPr>
          <w:p w14:paraId="0C4DF6CC" w14:textId="77777777" w:rsidR="00F930F1" w:rsidRPr="009B2F60" w:rsidRDefault="00F930F1" w:rsidP="00F930F1">
            <w:r w:rsidRPr="009B2F60">
              <w:t>Technology to support recovery from diastasis recti (separation of the abdominal muscles during pregnancy)</w:t>
            </w:r>
          </w:p>
        </w:tc>
      </w:tr>
      <w:tr w:rsidR="00F930F1" w:rsidRPr="00192767" w14:paraId="4F849658" w14:textId="77777777" w:rsidTr="007715E5">
        <w:trPr>
          <w:trHeight w:val="300"/>
        </w:trPr>
        <w:tc>
          <w:tcPr>
            <w:tcW w:w="9016" w:type="dxa"/>
            <w:noWrap/>
            <w:hideMark/>
          </w:tcPr>
          <w:p w14:paraId="2AEFE082" w14:textId="77777777" w:rsidR="00F930F1" w:rsidRPr="009B2F60" w:rsidRDefault="00F930F1" w:rsidP="00F930F1">
            <w:r w:rsidRPr="009B2F60">
              <w:lastRenderedPageBreak/>
              <w:t>Tests to help people who struggle to conceive know when they are most fertile </w:t>
            </w:r>
          </w:p>
        </w:tc>
      </w:tr>
      <w:tr w:rsidR="00F930F1" w:rsidRPr="00192767" w14:paraId="0E9DAD0E" w14:textId="77777777" w:rsidTr="007715E5">
        <w:trPr>
          <w:trHeight w:val="300"/>
        </w:trPr>
        <w:tc>
          <w:tcPr>
            <w:tcW w:w="9016" w:type="dxa"/>
            <w:noWrap/>
            <w:hideMark/>
          </w:tcPr>
          <w:p w14:paraId="2C8893DF" w14:textId="77777777" w:rsidR="00F930F1" w:rsidRPr="009B2F60" w:rsidRDefault="00F930F1" w:rsidP="00F930F1">
            <w:r w:rsidRPr="009B2F60">
              <w:t>Tests to identify menopause better and earlier and learn how to individualise care</w:t>
            </w:r>
          </w:p>
        </w:tc>
      </w:tr>
      <w:tr w:rsidR="00F930F1" w:rsidRPr="00192767" w14:paraId="158D0B4B" w14:textId="77777777" w:rsidTr="007715E5">
        <w:trPr>
          <w:trHeight w:val="300"/>
        </w:trPr>
        <w:tc>
          <w:tcPr>
            <w:tcW w:w="9016" w:type="dxa"/>
            <w:noWrap/>
            <w:hideMark/>
          </w:tcPr>
          <w:p w14:paraId="520499CC" w14:textId="77777777" w:rsidR="00F930F1" w:rsidRDefault="00F930F1" w:rsidP="00F930F1">
            <w:r w:rsidRPr="009B2F60">
              <w:t>Ways to visualise your genital anatomy and pelvic floor to help with education and pelvic floor exercises </w:t>
            </w:r>
          </w:p>
        </w:tc>
      </w:tr>
    </w:tbl>
    <w:p w14:paraId="60792576" w14:textId="1F9BADC9" w:rsidR="002A5820" w:rsidRPr="002A5820" w:rsidRDefault="002A5820" w:rsidP="00BC0003">
      <w:pPr>
        <w:pStyle w:val="Heading2"/>
      </w:pPr>
    </w:p>
    <w:sectPr w:rsidR="002A5820" w:rsidRPr="002A5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DEC"/>
    <w:multiLevelType w:val="hybridMultilevel"/>
    <w:tmpl w:val="58F4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11597"/>
    <w:multiLevelType w:val="hybridMultilevel"/>
    <w:tmpl w:val="D67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F069F"/>
    <w:multiLevelType w:val="hybridMultilevel"/>
    <w:tmpl w:val="6410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929A3"/>
    <w:multiLevelType w:val="hybridMultilevel"/>
    <w:tmpl w:val="3A0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20"/>
    <w:rsid w:val="000B336B"/>
    <w:rsid w:val="000C3C9F"/>
    <w:rsid w:val="000F434A"/>
    <w:rsid w:val="00192767"/>
    <w:rsid w:val="002A5820"/>
    <w:rsid w:val="005301F0"/>
    <w:rsid w:val="00BC0003"/>
    <w:rsid w:val="00BD54FE"/>
    <w:rsid w:val="00D6544A"/>
    <w:rsid w:val="00F9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C400"/>
  <w15:chartTrackingRefBased/>
  <w15:docId w15:val="{3D2D958F-FE62-4151-8CA7-F06A6CA9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F0"/>
    <w:rPr>
      <w:rFonts w:ascii="Gadugi" w:hAnsi="Gadugi"/>
    </w:rPr>
  </w:style>
  <w:style w:type="paragraph" w:styleId="Heading1">
    <w:name w:val="heading 1"/>
    <w:basedOn w:val="Normal"/>
    <w:next w:val="Normal"/>
    <w:link w:val="Heading1Char"/>
    <w:uiPriority w:val="9"/>
    <w:qFormat/>
    <w:rsid w:val="005301F0"/>
    <w:pPr>
      <w:outlineLvl w:val="0"/>
    </w:pPr>
    <w:rPr>
      <w:b/>
      <w:color w:val="ED7D31" w:themeColor="accent2"/>
      <w:sz w:val="32"/>
    </w:rPr>
  </w:style>
  <w:style w:type="paragraph" w:styleId="Heading2">
    <w:name w:val="heading 2"/>
    <w:basedOn w:val="Heading1"/>
    <w:next w:val="Normal"/>
    <w:link w:val="Heading2Char"/>
    <w:uiPriority w:val="9"/>
    <w:unhideWhenUsed/>
    <w:qFormat/>
    <w:rsid w:val="005301F0"/>
    <w:pPr>
      <w:outlineLvl w:val="1"/>
    </w:pPr>
    <w:rPr>
      <w:color w:val="404040" w:themeColor="text1" w:themeTint="BF"/>
      <w:sz w:val="28"/>
      <w:u w:val="single"/>
    </w:rPr>
  </w:style>
  <w:style w:type="paragraph" w:styleId="Heading3">
    <w:name w:val="heading 3"/>
    <w:basedOn w:val="Heading2"/>
    <w:next w:val="Normal"/>
    <w:link w:val="Heading3Char"/>
    <w:uiPriority w:val="9"/>
    <w:unhideWhenUsed/>
    <w:qFormat/>
    <w:rsid w:val="005301F0"/>
    <w:pPr>
      <w:outlineLvl w:val="2"/>
    </w:pPr>
    <w:rPr>
      <w:i/>
      <w:color w:val="F4B083" w:themeColor="accent2" w:themeTint="99"/>
      <w:u w:val="none"/>
    </w:rPr>
  </w:style>
  <w:style w:type="paragraph" w:styleId="Heading4">
    <w:name w:val="heading 4"/>
    <w:basedOn w:val="Normal"/>
    <w:next w:val="Normal"/>
    <w:link w:val="Heading4Char"/>
    <w:uiPriority w:val="9"/>
    <w:unhideWhenUsed/>
    <w:qFormat/>
    <w:rsid w:val="005301F0"/>
    <w:pPr>
      <w:outlineLvl w:val="3"/>
    </w:pPr>
  </w:style>
  <w:style w:type="paragraph" w:styleId="Heading5">
    <w:name w:val="heading 5"/>
    <w:basedOn w:val="Normal"/>
    <w:next w:val="Normal"/>
    <w:link w:val="Heading5Char"/>
    <w:uiPriority w:val="9"/>
    <w:semiHidden/>
    <w:unhideWhenUsed/>
    <w:rsid w:val="005301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1F0"/>
    <w:rPr>
      <w:rFonts w:ascii="Gadugi" w:hAnsi="Gadugi"/>
      <w:b/>
      <w:color w:val="ED7D31" w:themeColor="accent2"/>
      <w:sz w:val="32"/>
    </w:rPr>
  </w:style>
  <w:style w:type="character" w:customStyle="1" w:styleId="Heading2Char">
    <w:name w:val="Heading 2 Char"/>
    <w:basedOn w:val="DefaultParagraphFont"/>
    <w:link w:val="Heading2"/>
    <w:uiPriority w:val="9"/>
    <w:rsid w:val="005301F0"/>
    <w:rPr>
      <w:rFonts w:ascii="Gadugi" w:hAnsi="Gadugi"/>
      <w:b/>
      <w:color w:val="404040" w:themeColor="text1" w:themeTint="BF"/>
      <w:sz w:val="28"/>
      <w:u w:val="single"/>
    </w:rPr>
  </w:style>
  <w:style w:type="character" w:customStyle="1" w:styleId="Heading3Char">
    <w:name w:val="Heading 3 Char"/>
    <w:basedOn w:val="DefaultParagraphFont"/>
    <w:link w:val="Heading3"/>
    <w:uiPriority w:val="9"/>
    <w:rsid w:val="005301F0"/>
    <w:rPr>
      <w:rFonts w:ascii="Gadugi" w:hAnsi="Gadugi"/>
      <w:b/>
      <w:i/>
      <w:color w:val="F4B083" w:themeColor="accent2" w:themeTint="99"/>
      <w:sz w:val="28"/>
    </w:rPr>
  </w:style>
  <w:style w:type="character" w:customStyle="1" w:styleId="Heading4Char">
    <w:name w:val="Heading 4 Char"/>
    <w:basedOn w:val="DefaultParagraphFont"/>
    <w:link w:val="Heading4"/>
    <w:uiPriority w:val="9"/>
    <w:rsid w:val="005301F0"/>
    <w:rPr>
      <w:rFonts w:ascii="Gadugi" w:hAnsi="Gadugi"/>
    </w:rPr>
  </w:style>
  <w:style w:type="paragraph" w:styleId="Title">
    <w:name w:val="Title"/>
    <w:basedOn w:val="Normal"/>
    <w:next w:val="Normal"/>
    <w:link w:val="TitleChar"/>
    <w:uiPriority w:val="10"/>
    <w:qFormat/>
    <w:rsid w:val="005301F0"/>
    <w:pPr>
      <w:spacing w:after="0" w:line="240" w:lineRule="auto"/>
      <w:contextualSpacing/>
    </w:pPr>
    <w:rPr>
      <w:rFonts w:eastAsiaTheme="majorEastAsia" w:cstheme="majorBidi"/>
      <w:spacing w:val="-10"/>
      <w:kern w:val="28"/>
      <w:sz w:val="56"/>
      <w:szCs w:val="56"/>
      <w:u w:val="single"/>
    </w:rPr>
  </w:style>
  <w:style w:type="character" w:customStyle="1" w:styleId="TitleChar">
    <w:name w:val="Title Char"/>
    <w:basedOn w:val="DefaultParagraphFont"/>
    <w:link w:val="Title"/>
    <w:uiPriority w:val="10"/>
    <w:rsid w:val="005301F0"/>
    <w:rPr>
      <w:rFonts w:ascii="Gadugi" w:eastAsiaTheme="majorEastAsia" w:hAnsi="Gadugi" w:cstheme="majorBidi"/>
      <w:spacing w:val="-10"/>
      <w:kern w:val="28"/>
      <w:sz w:val="56"/>
      <w:szCs w:val="56"/>
      <w:u w:val="single"/>
    </w:rPr>
  </w:style>
  <w:style w:type="paragraph" w:styleId="Subtitle">
    <w:name w:val="Subtitle"/>
    <w:basedOn w:val="Heading5"/>
    <w:next w:val="Normal"/>
    <w:link w:val="SubtitleChar"/>
    <w:uiPriority w:val="11"/>
    <w:qFormat/>
    <w:rsid w:val="005301F0"/>
    <w:pPr>
      <w:keepNext w:val="0"/>
      <w:keepLines w:val="0"/>
      <w:spacing w:before="0" w:after="160"/>
    </w:pPr>
    <w:rPr>
      <w:rFonts w:ascii="Gadugi" w:eastAsiaTheme="minorHAnsi" w:hAnsi="Gadugi" w:cstheme="minorBidi"/>
      <w:color w:val="auto"/>
    </w:rPr>
  </w:style>
  <w:style w:type="character" w:customStyle="1" w:styleId="SubtitleChar">
    <w:name w:val="Subtitle Char"/>
    <w:basedOn w:val="DefaultParagraphFont"/>
    <w:link w:val="Subtitle"/>
    <w:uiPriority w:val="11"/>
    <w:rsid w:val="005301F0"/>
    <w:rPr>
      <w:rFonts w:ascii="Gadugi" w:hAnsi="Gadugi"/>
    </w:rPr>
  </w:style>
  <w:style w:type="character" w:customStyle="1" w:styleId="Heading5Char">
    <w:name w:val="Heading 5 Char"/>
    <w:basedOn w:val="DefaultParagraphFont"/>
    <w:link w:val="Heading5"/>
    <w:uiPriority w:val="9"/>
    <w:semiHidden/>
    <w:rsid w:val="005301F0"/>
    <w:rPr>
      <w:rFonts w:asciiTheme="majorHAnsi" w:eastAsiaTheme="majorEastAsia" w:hAnsiTheme="majorHAnsi" w:cstheme="majorBidi"/>
      <w:color w:val="2E74B5" w:themeColor="accent1" w:themeShade="BF"/>
    </w:rPr>
  </w:style>
  <w:style w:type="character" w:styleId="Emphasis">
    <w:name w:val="Emphasis"/>
    <w:basedOn w:val="SubtleEmphasis"/>
    <w:uiPriority w:val="20"/>
    <w:qFormat/>
    <w:rsid w:val="005301F0"/>
    <w:rPr>
      <w:i/>
      <w:iCs/>
    </w:rPr>
  </w:style>
  <w:style w:type="character" w:styleId="SubtleEmphasis">
    <w:name w:val="Subtle Emphasis"/>
    <w:uiPriority w:val="19"/>
    <w:qFormat/>
    <w:rsid w:val="005301F0"/>
  </w:style>
  <w:style w:type="paragraph" w:styleId="NoSpacing">
    <w:name w:val="No Spacing"/>
    <w:uiPriority w:val="1"/>
    <w:qFormat/>
    <w:rsid w:val="005301F0"/>
    <w:pPr>
      <w:spacing w:after="0" w:line="240" w:lineRule="auto"/>
    </w:pPr>
    <w:rPr>
      <w:rFonts w:ascii="Gadugi" w:hAnsi="Gadugi"/>
    </w:rPr>
  </w:style>
  <w:style w:type="paragraph" w:styleId="ListParagraph">
    <w:name w:val="List Paragraph"/>
    <w:basedOn w:val="IntenseQuote"/>
    <w:uiPriority w:val="34"/>
    <w:qFormat/>
    <w:rsid w:val="005301F0"/>
    <w:rPr>
      <w:i/>
      <w:iCs/>
    </w:rPr>
  </w:style>
  <w:style w:type="paragraph" w:styleId="IntenseQuote">
    <w:name w:val="Intense Quote"/>
    <w:basedOn w:val="Quote"/>
    <w:next w:val="Normal"/>
    <w:link w:val="IntenseQuoteChar"/>
    <w:uiPriority w:val="30"/>
    <w:qFormat/>
    <w:rsid w:val="005301F0"/>
  </w:style>
  <w:style w:type="character" w:customStyle="1" w:styleId="IntenseQuoteChar">
    <w:name w:val="Intense Quote Char"/>
    <w:basedOn w:val="DefaultParagraphFont"/>
    <w:link w:val="IntenseQuote"/>
    <w:uiPriority w:val="30"/>
    <w:rsid w:val="005301F0"/>
    <w:rPr>
      <w:rFonts w:ascii="Gadugi" w:hAnsi="Gadugi"/>
    </w:rPr>
  </w:style>
  <w:style w:type="paragraph" w:styleId="Quote">
    <w:name w:val="Quote"/>
    <w:basedOn w:val="Subtitle"/>
    <w:next w:val="Normal"/>
    <w:link w:val="QuoteChar"/>
    <w:uiPriority w:val="29"/>
    <w:qFormat/>
    <w:rsid w:val="005301F0"/>
  </w:style>
  <w:style w:type="character" w:customStyle="1" w:styleId="QuoteChar">
    <w:name w:val="Quote Char"/>
    <w:basedOn w:val="DefaultParagraphFont"/>
    <w:link w:val="Quote"/>
    <w:uiPriority w:val="29"/>
    <w:rsid w:val="005301F0"/>
    <w:rPr>
      <w:rFonts w:ascii="Gadugi" w:hAnsi="Gadugi"/>
    </w:rPr>
  </w:style>
  <w:style w:type="character" w:styleId="IntenseEmphasis">
    <w:name w:val="Intense Emphasis"/>
    <w:basedOn w:val="Emphasis"/>
    <w:uiPriority w:val="21"/>
    <w:qFormat/>
    <w:rsid w:val="005301F0"/>
    <w:rPr>
      <w:i w:val="0"/>
      <w:iCs w:val="0"/>
    </w:rPr>
  </w:style>
  <w:style w:type="character" w:styleId="SubtleReference">
    <w:name w:val="Subtle Reference"/>
    <w:uiPriority w:val="31"/>
    <w:qFormat/>
    <w:rsid w:val="005301F0"/>
  </w:style>
  <w:style w:type="character" w:styleId="IntenseReference">
    <w:name w:val="Intense Reference"/>
    <w:basedOn w:val="SubtleReference"/>
    <w:uiPriority w:val="32"/>
    <w:qFormat/>
    <w:rsid w:val="005301F0"/>
  </w:style>
  <w:style w:type="character" w:styleId="BookTitle">
    <w:name w:val="Book Title"/>
    <w:basedOn w:val="IntenseReference"/>
    <w:uiPriority w:val="33"/>
    <w:qFormat/>
    <w:rsid w:val="005301F0"/>
  </w:style>
  <w:style w:type="table" w:styleId="TableGrid">
    <w:name w:val="Table Grid"/>
    <w:basedOn w:val="TableNormal"/>
    <w:uiPriority w:val="39"/>
    <w:rsid w:val="002A5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998">
      <w:bodyDiv w:val="1"/>
      <w:marLeft w:val="0"/>
      <w:marRight w:val="0"/>
      <w:marTop w:val="0"/>
      <w:marBottom w:val="0"/>
      <w:divBdr>
        <w:top w:val="none" w:sz="0" w:space="0" w:color="auto"/>
        <w:left w:val="none" w:sz="0" w:space="0" w:color="auto"/>
        <w:bottom w:val="none" w:sz="0" w:space="0" w:color="auto"/>
        <w:right w:val="none" w:sz="0" w:space="0" w:color="auto"/>
      </w:divBdr>
    </w:div>
    <w:div w:id="916094766">
      <w:bodyDiv w:val="1"/>
      <w:marLeft w:val="0"/>
      <w:marRight w:val="0"/>
      <w:marTop w:val="0"/>
      <w:marBottom w:val="0"/>
      <w:divBdr>
        <w:top w:val="none" w:sz="0" w:space="0" w:color="auto"/>
        <w:left w:val="none" w:sz="0" w:space="0" w:color="auto"/>
        <w:bottom w:val="none" w:sz="0" w:space="0" w:color="auto"/>
        <w:right w:val="none" w:sz="0" w:space="0" w:color="auto"/>
      </w:divBdr>
    </w:div>
    <w:div w:id="980234846">
      <w:bodyDiv w:val="1"/>
      <w:marLeft w:val="0"/>
      <w:marRight w:val="0"/>
      <w:marTop w:val="0"/>
      <w:marBottom w:val="0"/>
      <w:divBdr>
        <w:top w:val="none" w:sz="0" w:space="0" w:color="auto"/>
        <w:left w:val="none" w:sz="0" w:space="0" w:color="auto"/>
        <w:bottom w:val="none" w:sz="0" w:space="0" w:color="auto"/>
        <w:right w:val="none" w:sz="0" w:space="0" w:color="auto"/>
      </w:divBdr>
    </w:div>
    <w:div w:id="1087576920">
      <w:bodyDiv w:val="1"/>
      <w:marLeft w:val="0"/>
      <w:marRight w:val="0"/>
      <w:marTop w:val="0"/>
      <w:marBottom w:val="0"/>
      <w:divBdr>
        <w:top w:val="none" w:sz="0" w:space="0" w:color="auto"/>
        <w:left w:val="none" w:sz="0" w:space="0" w:color="auto"/>
        <w:bottom w:val="none" w:sz="0" w:space="0" w:color="auto"/>
        <w:right w:val="none" w:sz="0" w:space="0" w:color="auto"/>
      </w:divBdr>
    </w:div>
    <w:div w:id="1115641173">
      <w:bodyDiv w:val="1"/>
      <w:marLeft w:val="0"/>
      <w:marRight w:val="0"/>
      <w:marTop w:val="0"/>
      <w:marBottom w:val="0"/>
      <w:divBdr>
        <w:top w:val="none" w:sz="0" w:space="0" w:color="auto"/>
        <w:left w:val="none" w:sz="0" w:space="0" w:color="auto"/>
        <w:bottom w:val="none" w:sz="0" w:space="0" w:color="auto"/>
        <w:right w:val="none" w:sz="0" w:space="0" w:color="auto"/>
      </w:divBdr>
    </w:div>
    <w:div w:id="1504273715">
      <w:bodyDiv w:val="1"/>
      <w:marLeft w:val="0"/>
      <w:marRight w:val="0"/>
      <w:marTop w:val="0"/>
      <w:marBottom w:val="0"/>
      <w:divBdr>
        <w:top w:val="none" w:sz="0" w:space="0" w:color="auto"/>
        <w:left w:val="none" w:sz="0" w:space="0" w:color="auto"/>
        <w:bottom w:val="none" w:sz="0" w:space="0" w:color="auto"/>
        <w:right w:val="none" w:sz="0" w:space="0" w:color="auto"/>
      </w:divBdr>
    </w:div>
    <w:div w:id="18077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70AD47"/>
      </a:accent4>
      <a:accent5>
        <a:srgbClr val="4472C4"/>
      </a:accent5>
      <a:accent6>
        <a:srgbClr val="9DC93B"/>
      </a:accent6>
      <a:hlink>
        <a:srgbClr val="083CB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92B63D3E6A1245B67CADA3B990C962" ma:contentTypeVersion="12" ma:contentTypeDescription="Create a new document." ma:contentTypeScope="" ma:versionID="a87a1fd1f4c597a314f96395f1390734">
  <xsd:schema xmlns:xsd="http://www.w3.org/2001/XMLSchema" xmlns:xs="http://www.w3.org/2001/XMLSchema" xmlns:p="http://schemas.microsoft.com/office/2006/metadata/properties" xmlns:ns3="cf78f1f7-b0b2-45ef-b54a-144f8fc9eca1" xmlns:ns4="cc530965-1544-4f34-a408-209ca9f21136" targetNamespace="http://schemas.microsoft.com/office/2006/metadata/properties" ma:root="true" ma:fieldsID="caa02eed590b3f7ba82dba6d90bb0888" ns3:_="" ns4:_="">
    <xsd:import namespace="cf78f1f7-b0b2-45ef-b54a-144f8fc9eca1"/>
    <xsd:import namespace="cc530965-1544-4f34-a408-209ca9f211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8f1f7-b0b2-45ef-b54a-144f8fc9ec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30965-1544-4f34-a408-209ca9f211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AE46D-C8CB-49BF-99E0-14ED5D9E9894}">
  <ds:schemaRefs>
    <ds:schemaRef ds:uri="cc530965-1544-4f34-a408-209ca9f2113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f78f1f7-b0b2-45ef-b54a-144f8fc9eca1"/>
    <ds:schemaRef ds:uri="http://www.w3.org/XML/1998/namespace"/>
  </ds:schemaRefs>
</ds:datastoreItem>
</file>

<file path=customXml/itemProps2.xml><?xml version="1.0" encoding="utf-8"?>
<ds:datastoreItem xmlns:ds="http://schemas.openxmlformats.org/officeDocument/2006/customXml" ds:itemID="{E9D578B5-A9F0-4730-922A-C6FDD4E167B6}">
  <ds:schemaRefs>
    <ds:schemaRef ds:uri="http://schemas.microsoft.com/sharepoint/v3/contenttype/forms"/>
  </ds:schemaRefs>
</ds:datastoreItem>
</file>

<file path=customXml/itemProps3.xml><?xml version="1.0" encoding="utf-8"?>
<ds:datastoreItem xmlns:ds="http://schemas.openxmlformats.org/officeDocument/2006/customXml" ds:itemID="{F703EB20-A80F-4C16-9A5A-2E0A66A3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8f1f7-b0b2-45ef-b54a-144f8fc9eca1"/>
    <ds:schemaRef ds:uri="cc530965-1544-4f34-a408-209ca9f21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Edwards</dc:creator>
  <cp:keywords/>
  <dc:description/>
  <cp:lastModifiedBy>George Edwards</cp:lastModifiedBy>
  <cp:revision>3</cp:revision>
  <dcterms:created xsi:type="dcterms:W3CDTF">2022-05-19T10:58:00Z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0x010100C892B63D3E6A1245B67CADA3B990C962</vt:lpwstr>
  </property>
</Properties>
</file>